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73811" w14:textId="55D78A2F" w:rsidR="00EF3A4E" w:rsidRPr="00EF3A4E" w:rsidRDefault="0039387A" w:rsidP="00EF3A4E">
      <w:pPr>
        <w:pStyle w:val="NormaleWeb"/>
        <w:shd w:val="clear" w:color="auto" w:fill="FFFFFF"/>
        <w:spacing w:before="0" w:beforeAutospacing="0" w:after="0" w:afterAutospacing="0" w:line="252" w:lineRule="auto"/>
        <w:jc w:val="center"/>
        <w:rPr>
          <w:rFonts w:ascii="Calibri" w:eastAsiaTheme="minorHAnsi" w:hAnsi="Calibri" w:cs="Calibri"/>
          <w:bCs/>
          <w:color w:val="000000" w:themeColor="text1"/>
          <w:sz w:val="28"/>
          <w:szCs w:val="28"/>
          <w:lang w:eastAsia="en-US"/>
        </w:rPr>
      </w:pPr>
      <w:r w:rsidRPr="00EF3A4E">
        <w:rPr>
          <w:rFonts w:ascii="Calibri" w:hAnsi="Calibri" w:cs="Calibri"/>
          <w:b/>
          <w:bCs/>
          <w:i/>
          <w:iCs/>
          <w:color w:val="000000" w:themeColor="text1"/>
          <w:u w:val="single"/>
        </w:rPr>
        <w:t>FONDAZIONI A</w:t>
      </w:r>
      <w:r w:rsidR="00EF3A4E" w:rsidRPr="00EF3A4E">
        <w:rPr>
          <w:rFonts w:ascii="Calibri" w:hAnsi="Calibri" w:cs="Calibri"/>
          <w:b/>
          <w:bCs/>
          <w:i/>
          <w:iCs/>
          <w:color w:val="000000" w:themeColor="text1"/>
          <w:u w:val="single"/>
        </w:rPr>
        <w:t>NTIUSURA ASSOCIATE ALLA CONSULTA NAZIONALE ATTIVE IN TEMA DI AZZARDO</w:t>
      </w:r>
    </w:p>
    <w:p w14:paraId="746E9E3E" w14:textId="31C8E1E9" w:rsidR="006E5DCF" w:rsidRPr="007A0ACF" w:rsidRDefault="006E5DCF" w:rsidP="003E3B7B">
      <w:pPr>
        <w:pStyle w:val="NormaleWeb"/>
        <w:shd w:val="clear" w:color="auto" w:fill="FFFFFF"/>
        <w:spacing w:before="0" w:beforeAutospacing="0" w:after="0" w:afterAutospacing="0" w:line="252" w:lineRule="auto"/>
        <w:jc w:val="both"/>
        <w:rPr>
          <w:rFonts w:asciiTheme="majorHAnsi" w:eastAsiaTheme="minorHAnsi" w:hAnsiTheme="majorHAnsi" w:cstheme="minorBidi"/>
          <w:bCs/>
          <w:color w:val="000000" w:themeColor="text1"/>
          <w:sz w:val="4"/>
          <w:szCs w:val="4"/>
          <w:lang w:eastAsia="en-US"/>
        </w:rPr>
      </w:pPr>
      <w:r>
        <w:rPr>
          <w:rFonts w:asciiTheme="majorHAnsi" w:eastAsiaTheme="minorHAnsi" w:hAnsiTheme="majorHAnsi" w:cstheme="minorBidi"/>
          <w:bCs/>
          <w:color w:val="000000" w:themeColor="text1"/>
          <w:sz w:val="23"/>
          <w:szCs w:val="23"/>
          <w:lang w:eastAsia="en-US"/>
        </w:rPr>
        <w:t xml:space="preserve"> </w:t>
      </w:r>
    </w:p>
    <w:p w14:paraId="52B9A7F5" w14:textId="77777777" w:rsidR="006E5DCF" w:rsidRPr="007A0ACF" w:rsidRDefault="006E5DCF" w:rsidP="006E5DCF">
      <w:pPr>
        <w:pStyle w:val="NormaleWeb"/>
        <w:shd w:val="clear" w:color="auto" w:fill="FFFFFF"/>
        <w:spacing w:before="0" w:beforeAutospacing="0" w:after="0" w:afterAutospacing="0" w:line="252" w:lineRule="auto"/>
        <w:ind w:firstLine="426"/>
        <w:jc w:val="both"/>
        <w:rPr>
          <w:rFonts w:asciiTheme="majorHAnsi" w:eastAsiaTheme="minorHAnsi" w:hAnsiTheme="majorHAnsi" w:cstheme="minorBidi"/>
          <w:bCs/>
          <w:color w:val="000000" w:themeColor="text1"/>
          <w:sz w:val="32"/>
          <w:szCs w:val="32"/>
          <w:lang w:eastAsia="en-US"/>
        </w:rPr>
      </w:pPr>
    </w:p>
    <w:tbl>
      <w:tblPr>
        <w:tblStyle w:val="Grigliatabella"/>
        <w:tblW w:w="15021" w:type="dxa"/>
        <w:tblLook w:val="04A0" w:firstRow="1" w:lastRow="0" w:firstColumn="1" w:lastColumn="0" w:noHBand="0" w:noVBand="1"/>
      </w:tblPr>
      <w:tblGrid>
        <w:gridCol w:w="511"/>
        <w:gridCol w:w="2375"/>
        <w:gridCol w:w="1323"/>
        <w:gridCol w:w="2307"/>
        <w:gridCol w:w="2007"/>
        <w:gridCol w:w="6498"/>
      </w:tblGrid>
      <w:tr w:rsidR="00E47F95" w:rsidRPr="006E7F0A" w14:paraId="312609C7" w14:textId="77777777" w:rsidTr="001E0135">
        <w:trPr>
          <w:cantSplit/>
          <w:trHeight w:val="20"/>
          <w:tblHeader/>
        </w:trPr>
        <w:tc>
          <w:tcPr>
            <w:tcW w:w="511" w:type="dxa"/>
          </w:tcPr>
          <w:p w14:paraId="6230FC13" w14:textId="77777777" w:rsidR="00E47F95" w:rsidRPr="006E7F0A" w:rsidRDefault="00E47F95">
            <w:pPr>
              <w:spacing w:after="0" w:line="264" w:lineRule="auto"/>
              <w:rPr>
                <w:rFonts w:ascii="Calibri" w:eastAsia="Calibri" w:hAnsi="Calibri" w:cs="Calibri"/>
                <w:b/>
                <w:bCs/>
                <w:lang w:eastAsia="it-IT"/>
              </w:rPr>
            </w:pPr>
            <w:r w:rsidRPr="006E7F0A">
              <w:rPr>
                <w:rFonts w:ascii="Calibri" w:eastAsia="Calibri" w:hAnsi="Calibri" w:cs="Calibri"/>
                <w:b/>
                <w:bCs/>
                <w:lang w:eastAsia="it-IT"/>
              </w:rPr>
              <w:t>N.</w:t>
            </w:r>
          </w:p>
        </w:tc>
        <w:tc>
          <w:tcPr>
            <w:tcW w:w="2375" w:type="dxa"/>
            <w:hideMark/>
          </w:tcPr>
          <w:p w14:paraId="0C434A0F" w14:textId="77777777" w:rsidR="00E47F95" w:rsidRPr="006E7F0A" w:rsidRDefault="00E47F95">
            <w:pPr>
              <w:spacing w:after="0" w:line="264" w:lineRule="auto"/>
              <w:rPr>
                <w:rFonts w:ascii="Calibri" w:eastAsia="Calibri" w:hAnsi="Calibri" w:cs="Calibri"/>
                <w:b/>
                <w:bCs/>
                <w:color w:val="FFFFFF"/>
                <w:lang w:eastAsia="it-IT"/>
              </w:rPr>
            </w:pPr>
            <w:r w:rsidRPr="006E7F0A">
              <w:rPr>
                <w:rFonts w:ascii="Calibri" w:eastAsia="Calibri" w:hAnsi="Calibri" w:cs="Calibri"/>
                <w:b/>
                <w:bCs/>
                <w:lang w:eastAsia="it-IT"/>
              </w:rPr>
              <w:t>Denominazione Fondazione</w:t>
            </w:r>
          </w:p>
        </w:tc>
        <w:tc>
          <w:tcPr>
            <w:tcW w:w="1323" w:type="dxa"/>
            <w:shd w:val="clear" w:color="auto" w:fill="FFFF00"/>
          </w:tcPr>
          <w:p w14:paraId="0C7CDD2C" w14:textId="77777777" w:rsidR="00E47F95" w:rsidRPr="006E7F0A" w:rsidRDefault="00E47F95">
            <w:pPr>
              <w:spacing w:after="0" w:line="264" w:lineRule="auto"/>
              <w:rPr>
                <w:rFonts w:ascii="Calibri" w:eastAsia="Calibri" w:hAnsi="Calibri" w:cs="Calibri"/>
                <w:b/>
                <w:bCs/>
                <w:lang w:eastAsia="it-IT"/>
              </w:rPr>
            </w:pPr>
            <w:r w:rsidRPr="006E7F0A">
              <w:rPr>
                <w:rFonts w:ascii="Calibri" w:eastAsia="Calibri" w:hAnsi="Calibri" w:cs="Calibri"/>
                <w:b/>
                <w:bCs/>
                <w:lang w:eastAsia="it-IT"/>
              </w:rPr>
              <w:t>Regione</w:t>
            </w:r>
          </w:p>
        </w:tc>
        <w:tc>
          <w:tcPr>
            <w:tcW w:w="2307" w:type="dxa"/>
            <w:shd w:val="clear" w:color="auto" w:fill="FFFF00"/>
          </w:tcPr>
          <w:p w14:paraId="2D3D8B8C" w14:textId="77777777" w:rsidR="00E47F95" w:rsidRPr="006E7F0A" w:rsidRDefault="00E47F95">
            <w:pPr>
              <w:spacing w:after="0" w:line="264" w:lineRule="auto"/>
              <w:rPr>
                <w:rFonts w:ascii="Calibri" w:eastAsia="Calibri" w:hAnsi="Calibri" w:cs="Calibri"/>
                <w:b/>
                <w:bCs/>
                <w:lang w:eastAsia="it-IT"/>
              </w:rPr>
            </w:pPr>
            <w:r w:rsidRPr="006E7F0A">
              <w:rPr>
                <w:rFonts w:ascii="Calibri" w:eastAsia="Calibri" w:hAnsi="Calibri" w:cs="Calibri"/>
                <w:b/>
                <w:bCs/>
                <w:lang w:eastAsia="it-IT"/>
              </w:rPr>
              <w:t>Arci/-Diocesi</w:t>
            </w:r>
          </w:p>
        </w:tc>
        <w:tc>
          <w:tcPr>
            <w:tcW w:w="2007" w:type="dxa"/>
            <w:hideMark/>
          </w:tcPr>
          <w:p w14:paraId="2D1F33EE" w14:textId="77777777" w:rsidR="00E47F95" w:rsidRPr="006E7F0A" w:rsidRDefault="00E47F95">
            <w:pPr>
              <w:spacing w:after="0" w:line="264" w:lineRule="auto"/>
              <w:rPr>
                <w:rFonts w:ascii="Calibri" w:eastAsia="Calibri" w:hAnsi="Calibri" w:cs="Calibri"/>
                <w:b/>
                <w:bCs/>
                <w:lang w:eastAsia="it-IT"/>
              </w:rPr>
            </w:pPr>
            <w:r w:rsidRPr="006E7F0A">
              <w:rPr>
                <w:rFonts w:ascii="Calibri" w:eastAsia="Calibri" w:hAnsi="Calibri" w:cs="Calibri"/>
                <w:b/>
                <w:bCs/>
                <w:lang w:eastAsia="it-IT"/>
              </w:rPr>
              <w:t>Sede</w:t>
            </w:r>
          </w:p>
        </w:tc>
        <w:tc>
          <w:tcPr>
            <w:tcW w:w="6498" w:type="dxa"/>
            <w:hideMark/>
          </w:tcPr>
          <w:p w14:paraId="21180289" w14:textId="77777777" w:rsidR="00E47F95" w:rsidRPr="006E7F0A" w:rsidRDefault="00E47F95">
            <w:pPr>
              <w:spacing w:after="0" w:line="264" w:lineRule="auto"/>
              <w:rPr>
                <w:rFonts w:ascii="Calibri" w:eastAsia="Calibri" w:hAnsi="Calibri" w:cs="Calibri"/>
                <w:b/>
                <w:bCs/>
                <w:lang w:eastAsia="it-IT"/>
              </w:rPr>
            </w:pPr>
            <w:r w:rsidRPr="006E7F0A">
              <w:rPr>
                <w:rFonts w:ascii="Calibri" w:eastAsia="Calibri" w:hAnsi="Calibri" w:cs="Calibri"/>
                <w:b/>
                <w:bCs/>
                <w:lang w:eastAsia="it-IT"/>
              </w:rPr>
              <w:t>Attività svolta Bilancio 2023</w:t>
            </w:r>
          </w:p>
        </w:tc>
      </w:tr>
      <w:tr w:rsidR="00E47F95" w:rsidRPr="006E7F0A" w14:paraId="2602D195" w14:textId="77777777" w:rsidTr="001E0135">
        <w:trPr>
          <w:cantSplit/>
          <w:trHeight w:val="20"/>
        </w:trPr>
        <w:tc>
          <w:tcPr>
            <w:tcW w:w="511" w:type="dxa"/>
          </w:tcPr>
          <w:p w14:paraId="1B51E020" w14:textId="54FB1CE0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1</w:t>
            </w:r>
          </w:p>
        </w:tc>
        <w:tc>
          <w:tcPr>
            <w:tcW w:w="2375" w:type="dxa"/>
            <w:noWrap/>
            <w:hideMark/>
          </w:tcPr>
          <w:p w14:paraId="2F0FF462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Lucana Mons. Cavalla</w:t>
            </w:r>
          </w:p>
        </w:tc>
        <w:tc>
          <w:tcPr>
            <w:tcW w:w="1323" w:type="dxa"/>
          </w:tcPr>
          <w:p w14:paraId="121F1564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Basilicata</w:t>
            </w:r>
          </w:p>
        </w:tc>
        <w:tc>
          <w:tcPr>
            <w:tcW w:w="2307" w:type="dxa"/>
          </w:tcPr>
          <w:p w14:paraId="4D84633C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Matera-Irsina</w:t>
            </w:r>
          </w:p>
        </w:tc>
        <w:tc>
          <w:tcPr>
            <w:tcW w:w="2007" w:type="dxa"/>
            <w:noWrap/>
            <w:hideMark/>
          </w:tcPr>
          <w:p w14:paraId="6ADFE0B1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Matera</w:t>
            </w:r>
          </w:p>
        </w:tc>
        <w:tc>
          <w:tcPr>
            <w:tcW w:w="6498" w:type="dxa"/>
            <w:noWrap/>
            <w:hideMark/>
          </w:tcPr>
          <w:p w14:paraId="29BBD5B9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Organizzazione e partecipazione a Convegni. </w:t>
            </w:r>
          </w:p>
        </w:tc>
      </w:tr>
      <w:tr w:rsidR="00E47F95" w:rsidRPr="006E7F0A" w14:paraId="73532DC3" w14:textId="77777777" w:rsidTr="001E0135">
        <w:trPr>
          <w:cantSplit/>
          <w:trHeight w:val="20"/>
        </w:trPr>
        <w:tc>
          <w:tcPr>
            <w:tcW w:w="511" w:type="dxa"/>
          </w:tcPr>
          <w:p w14:paraId="552EFD85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2</w:t>
            </w:r>
          </w:p>
        </w:tc>
        <w:tc>
          <w:tcPr>
            <w:tcW w:w="2375" w:type="dxa"/>
            <w:noWrap/>
            <w:hideMark/>
          </w:tcPr>
          <w:p w14:paraId="06C0C098" w14:textId="79C6429F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</w:t>
            </w:r>
            <w:r w:rsidR="00B309A8">
              <w:rPr>
                <w:rFonts w:ascii="Calibri" w:hAnsi="Calibri" w:cs="Calibri"/>
              </w:rPr>
              <w:t>an</w:t>
            </w:r>
            <w:r w:rsidRPr="006E7F0A">
              <w:rPr>
                <w:rFonts w:ascii="Calibri" w:hAnsi="Calibri" w:cs="Calibri"/>
              </w:rPr>
              <w:t xml:space="preserve"> Matteo Apostolo </w:t>
            </w:r>
          </w:p>
        </w:tc>
        <w:tc>
          <w:tcPr>
            <w:tcW w:w="1323" w:type="dxa"/>
          </w:tcPr>
          <w:p w14:paraId="2BA94290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Calabria</w:t>
            </w:r>
          </w:p>
        </w:tc>
        <w:tc>
          <w:tcPr>
            <w:tcW w:w="2307" w:type="dxa"/>
          </w:tcPr>
          <w:p w14:paraId="176B62C2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Cassano all'Jonio</w:t>
            </w:r>
          </w:p>
        </w:tc>
        <w:tc>
          <w:tcPr>
            <w:tcW w:w="2007" w:type="dxa"/>
            <w:noWrap/>
            <w:hideMark/>
          </w:tcPr>
          <w:p w14:paraId="0DB87B28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Cassano all’Ionio (CS)</w:t>
            </w:r>
          </w:p>
        </w:tc>
        <w:tc>
          <w:tcPr>
            <w:tcW w:w="6498" w:type="dxa"/>
            <w:noWrap/>
            <w:hideMark/>
          </w:tcPr>
          <w:p w14:paraId="7959565D" w14:textId="7660B686" w:rsidR="00E47F95" w:rsidRPr="006E7F0A" w:rsidRDefault="00535DF6" w:rsidP="00BF3F95">
            <w:pPr>
              <w:rPr>
                <w:rFonts w:ascii="Calibri" w:hAnsi="Calibri" w:cs="Calibri"/>
              </w:rPr>
            </w:pPr>
            <w:r w:rsidRPr="00535DF6">
              <w:rPr>
                <w:rFonts w:ascii="Calibri" w:hAnsi="Calibri" w:cs="Calibri"/>
              </w:rPr>
              <w:t xml:space="preserve">Iniziative pedagogiche </w:t>
            </w:r>
            <w:r>
              <w:rPr>
                <w:rFonts w:ascii="Calibri" w:hAnsi="Calibri" w:cs="Calibri"/>
              </w:rPr>
              <w:t xml:space="preserve">in </w:t>
            </w:r>
            <w:r w:rsidRPr="00535DF6">
              <w:rPr>
                <w:rFonts w:ascii="Calibri" w:hAnsi="Calibri" w:cs="Calibri"/>
              </w:rPr>
              <w:t xml:space="preserve">collaborazione con l'Agenzia sanitaria di Cosenza, per </w:t>
            </w:r>
            <w:r w:rsidR="00BF3F95" w:rsidRPr="00BF3F95">
              <w:rPr>
                <w:rFonts w:ascii="Calibri" w:hAnsi="Calibri" w:cs="Calibri"/>
              </w:rPr>
              <w:t xml:space="preserve">promuovere l’educazione finanziaria responsabile </w:t>
            </w:r>
            <w:r w:rsidRPr="00535DF6">
              <w:rPr>
                <w:rFonts w:ascii="Calibri" w:hAnsi="Calibri" w:cs="Calibri"/>
              </w:rPr>
              <w:t>e sensibilizzare gli studenti sugli effetti negativi del gioco d'azzardo e delle dipendenze comportamentali.</w:t>
            </w:r>
          </w:p>
        </w:tc>
      </w:tr>
      <w:tr w:rsidR="00E47F95" w:rsidRPr="006E7F0A" w14:paraId="65AB424B" w14:textId="77777777" w:rsidTr="001E0135">
        <w:trPr>
          <w:cantSplit/>
          <w:trHeight w:val="20"/>
        </w:trPr>
        <w:tc>
          <w:tcPr>
            <w:tcW w:w="511" w:type="dxa"/>
          </w:tcPr>
          <w:p w14:paraId="590F74F8" w14:textId="5F8F0BD1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3</w:t>
            </w:r>
          </w:p>
        </w:tc>
        <w:tc>
          <w:tcPr>
            <w:tcW w:w="2375" w:type="dxa"/>
            <w:hideMark/>
          </w:tcPr>
          <w:p w14:paraId="410733EC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Don Carlo de Cardona </w:t>
            </w:r>
          </w:p>
        </w:tc>
        <w:tc>
          <w:tcPr>
            <w:tcW w:w="1323" w:type="dxa"/>
          </w:tcPr>
          <w:p w14:paraId="4C5FB8CE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Calabria</w:t>
            </w:r>
          </w:p>
        </w:tc>
        <w:tc>
          <w:tcPr>
            <w:tcW w:w="2307" w:type="dxa"/>
          </w:tcPr>
          <w:p w14:paraId="0F418909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Cosenza - Bisignano</w:t>
            </w:r>
          </w:p>
        </w:tc>
        <w:tc>
          <w:tcPr>
            <w:tcW w:w="2007" w:type="dxa"/>
            <w:hideMark/>
          </w:tcPr>
          <w:p w14:paraId="6032DBB6" w14:textId="5CA88A6F" w:rsidR="00E47F95" w:rsidRPr="006E7F0A" w:rsidRDefault="009A1C68" w:rsidP="006E7F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Rende </w:t>
            </w:r>
            <w:r w:rsidR="00E47F95" w:rsidRPr="006E7F0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498" w:type="dxa"/>
            <w:hideMark/>
          </w:tcPr>
          <w:p w14:paraId="1A23ACDC" w14:textId="4AB84842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Convegni e collaborazioni con Caritas </w:t>
            </w:r>
            <w:r w:rsidR="00BF3F95">
              <w:rPr>
                <w:rFonts w:ascii="Calibri" w:hAnsi="Calibri" w:cs="Calibri"/>
              </w:rPr>
              <w:t>d</w:t>
            </w:r>
            <w:r w:rsidRPr="006E7F0A">
              <w:rPr>
                <w:rFonts w:ascii="Calibri" w:hAnsi="Calibri" w:cs="Calibri"/>
              </w:rPr>
              <w:t xml:space="preserve">iocesana, Enti, </w:t>
            </w:r>
            <w:proofErr w:type="spellStart"/>
            <w:r w:rsidRPr="006E7F0A">
              <w:rPr>
                <w:rFonts w:ascii="Calibri" w:hAnsi="Calibri" w:cs="Calibri"/>
              </w:rPr>
              <w:t>Serd</w:t>
            </w:r>
            <w:proofErr w:type="spellEnd"/>
            <w:r w:rsidRPr="006E7F0A">
              <w:rPr>
                <w:rFonts w:ascii="Calibri" w:hAnsi="Calibri" w:cs="Calibri"/>
              </w:rPr>
              <w:t>, Associazioni e Tv locali.</w:t>
            </w:r>
          </w:p>
        </w:tc>
      </w:tr>
      <w:tr w:rsidR="00E47F95" w:rsidRPr="006E7F0A" w14:paraId="4E21420A" w14:textId="77777777" w:rsidTr="001E0135">
        <w:trPr>
          <w:cantSplit/>
          <w:trHeight w:val="20"/>
        </w:trPr>
        <w:tc>
          <w:tcPr>
            <w:tcW w:w="511" w:type="dxa"/>
          </w:tcPr>
          <w:p w14:paraId="761B374C" w14:textId="0DC5290B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4</w:t>
            </w:r>
          </w:p>
        </w:tc>
        <w:tc>
          <w:tcPr>
            <w:tcW w:w="2375" w:type="dxa"/>
          </w:tcPr>
          <w:p w14:paraId="0D2548B6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Zaccheo</w:t>
            </w:r>
          </w:p>
        </w:tc>
        <w:tc>
          <w:tcPr>
            <w:tcW w:w="1323" w:type="dxa"/>
          </w:tcPr>
          <w:p w14:paraId="6A632962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Calabria</w:t>
            </w:r>
          </w:p>
        </w:tc>
        <w:tc>
          <w:tcPr>
            <w:tcW w:w="2307" w:type="dxa"/>
          </w:tcPr>
          <w:p w14:paraId="79378870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  <w:lang w:eastAsia="it-IT"/>
              </w:rPr>
              <w:t>Crotone-Santa Severina</w:t>
            </w:r>
          </w:p>
        </w:tc>
        <w:tc>
          <w:tcPr>
            <w:tcW w:w="2007" w:type="dxa"/>
          </w:tcPr>
          <w:p w14:paraId="627A29D8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Crotone</w:t>
            </w:r>
          </w:p>
        </w:tc>
        <w:tc>
          <w:tcPr>
            <w:tcW w:w="6498" w:type="dxa"/>
          </w:tcPr>
          <w:p w14:paraId="03A438BC" w14:textId="67EEC359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Convegni, sensibilizzazione nelle scuole in collaborazione con i Focolarini; collaborazione iniziale con associazioni e ASL senza sviluppi. </w:t>
            </w:r>
          </w:p>
        </w:tc>
      </w:tr>
      <w:tr w:rsidR="00E47F95" w:rsidRPr="006E7F0A" w14:paraId="548513DA" w14:textId="77777777" w:rsidTr="001E0135">
        <w:trPr>
          <w:cantSplit/>
          <w:trHeight w:val="20"/>
        </w:trPr>
        <w:tc>
          <w:tcPr>
            <w:tcW w:w="511" w:type="dxa"/>
          </w:tcPr>
          <w:p w14:paraId="6CEF46E2" w14:textId="0A1E5148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5</w:t>
            </w:r>
          </w:p>
        </w:tc>
        <w:tc>
          <w:tcPr>
            <w:tcW w:w="2375" w:type="dxa"/>
            <w:noWrap/>
            <w:hideMark/>
          </w:tcPr>
          <w:p w14:paraId="327F305B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Exodus’94 </w:t>
            </w:r>
          </w:p>
        </w:tc>
        <w:tc>
          <w:tcPr>
            <w:tcW w:w="1323" w:type="dxa"/>
          </w:tcPr>
          <w:p w14:paraId="546EEE65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Campania</w:t>
            </w:r>
          </w:p>
        </w:tc>
        <w:tc>
          <w:tcPr>
            <w:tcW w:w="2307" w:type="dxa"/>
          </w:tcPr>
          <w:p w14:paraId="3EBC82A4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Sorrento-Castellammare di Stabia</w:t>
            </w:r>
          </w:p>
        </w:tc>
        <w:tc>
          <w:tcPr>
            <w:tcW w:w="2007" w:type="dxa"/>
            <w:noWrap/>
            <w:hideMark/>
          </w:tcPr>
          <w:p w14:paraId="60ECA145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Castellammare di Stabia (NA)</w:t>
            </w:r>
          </w:p>
        </w:tc>
        <w:tc>
          <w:tcPr>
            <w:tcW w:w="6498" w:type="dxa"/>
            <w:noWrap/>
            <w:hideMark/>
          </w:tcPr>
          <w:p w14:paraId="70F3D025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Istituzione di percorsi terapeutici e incontri PCTO (percorsi per le competenze trasversali e per l'orientamento) con testimonianze di ex giocatori; protocolli con Sert e ambiti territoriali; creazione di un gruppo di mutuo aiuto per giocatori patologici.</w:t>
            </w:r>
          </w:p>
        </w:tc>
      </w:tr>
      <w:tr w:rsidR="00E47F95" w:rsidRPr="006E7F0A" w14:paraId="61C3B124" w14:textId="77777777" w:rsidTr="001E0135">
        <w:trPr>
          <w:cantSplit/>
          <w:trHeight w:val="20"/>
        </w:trPr>
        <w:tc>
          <w:tcPr>
            <w:tcW w:w="511" w:type="dxa"/>
          </w:tcPr>
          <w:p w14:paraId="10576824" w14:textId="3C54799C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6</w:t>
            </w:r>
          </w:p>
        </w:tc>
        <w:tc>
          <w:tcPr>
            <w:tcW w:w="2375" w:type="dxa"/>
            <w:noWrap/>
            <w:hideMark/>
          </w:tcPr>
          <w:p w14:paraId="0442EDAC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San Giuseppe Moscati </w:t>
            </w:r>
          </w:p>
        </w:tc>
        <w:tc>
          <w:tcPr>
            <w:tcW w:w="1323" w:type="dxa"/>
          </w:tcPr>
          <w:p w14:paraId="16A482A1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Campania</w:t>
            </w:r>
          </w:p>
        </w:tc>
        <w:tc>
          <w:tcPr>
            <w:tcW w:w="2307" w:type="dxa"/>
          </w:tcPr>
          <w:p w14:paraId="4034153B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Napoli</w:t>
            </w:r>
          </w:p>
        </w:tc>
        <w:tc>
          <w:tcPr>
            <w:tcW w:w="2007" w:type="dxa"/>
            <w:noWrap/>
            <w:hideMark/>
          </w:tcPr>
          <w:p w14:paraId="291F61DC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Napoli</w:t>
            </w:r>
          </w:p>
        </w:tc>
        <w:tc>
          <w:tcPr>
            <w:tcW w:w="6498" w:type="dxa"/>
            <w:noWrap/>
            <w:hideMark/>
          </w:tcPr>
          <w:p w14:paraId="33F9FE34" w14:textId="41C1A08A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Collaborazioni con scuole e banche per progetti </w:t>
            </w:r>
            <w:r w:rsidR="002B3571">
              <w:rPr>
                <w:rFonts w:ascii="Calibri" w:hAnsi="Calibri" w:cs="Calibri"/>
              </w:rPr>
              <w:t>di educazione finanziaria</w:t>
            </w:r>
            <w:r w:rsidRPr="006E7F0A">
              <w:rPr>
                <w:rFonts w:ascii="Calibri" w:hAnsi="Calibri" w:cs="Calibri"/>
              </w:rPr>
              <w:t>, prevenzione e cura del gioco d'azzardo, anche in collaborazione con Comune e ASL attraverso la rete degli assistenti sociali; partecipazione alla Campagna "Mettiamoci in gioco". Accordo con Caritas Diocesana per potenziare la prevenzione e cura</w:t>
            </w:r>
          </w:p>
          <w:p w14:paraId="1899DD18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</w:p>
        </w:tc>
      </w:tr>
      <w:tr w:rsidR="00E47F95" w:rsidRPr="006E7F0A" w14:paraId="36291D07" w14:textId="77777777" w:rsidTr="001E0135">
        <w:trPr>
          <w:cantSplit/>
          <w:trHeight w:val="20"/>
        </w:trPr>
        <w:tc>
          <w:tcPr>
            <w:tcW w:w="511" w:type="dxa"/>
          </w:tcPr>
          <w:p w14:paraId="2B6FA099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7</w:t>
            </w:r>
          </w:p>
        </w:tc>
        <w:tc>
          <w:tcPr>
            <w:tcW w:w="2375" w:type="dxa"/>
            <w:noWrap/>
            <w:hideMark/>
          </w:tcPr>
          <w:p w14:paraId="7470E459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Wanda Vecchi </w:t>
            </w:r>
          </w:p>
        </w:tc>
        <w:tc>
          <w:tcPr>
            <w:tcW w:w="1323" w:type="dxa"/>
          </w:tcPr>
          <w:p w14:paraId="29F51136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Lazio</w:t>
            </w:r>
          </w:p>
        </w:tc>
        <w:tc>
          <w:tcPr>
            <w:tcW w:w="2307" w:type="dxa"/>
          </w:tcPr>
          <w:p w14:paraId="39A2073B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Latina-Terracina-Sezze-Priverno</w:t>
            </w:r>
          </w:p>
        </w:tc>
        <w:tc>
          <w:tcPr>
            <w:tcW w:w="2007" w:type="dxa"/>
            <w:noWrap/>
            <w:hideMark/>
          </w:tcPr>
          <w:p w14:paraId="17FC2845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Latina</w:t>
            </w:r>
          </w:p>
        </w:tc>
        <w:tc>
          <w:tcPr>
            <w:tcW w:w="6498" w:type="dxa"/>
            <w:noWrap/>
            <w:hideMark/>
          </w:tcPr>
          <w:p w14:paraId="3FA19DA2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Progetti condivisi e finanziati dal Mef, con coinvolgimento di rete territoriale di enti e associazioni.</w:t>
            </w:r>
          </w:p>
        </w:tc>
      </w:tr>
      <w:tr w:rsidR="00E47F95" w:rsidRPr="006E7F0A" w14:paraId="5D39CBC1" w14:textId="77777777" w:rsidTr="001E0135">
        <w:trPr>
          <w:cantSplit/>
          <w:trHeight w:val="20"/>
        </w:trPr>
        <w:tc>
          <w:tcPr>
            <w:tcW w:w="511" w:type="dxa"/>
          </w:tcPr>
          <w:p w14:paraId="624B72D4" w14:textId="5AE6A240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2375" w:type="dxa"/>
            <w:noWrap/>
            <w:hideMark/>
          </w:tcPr>
          <w:p w14:paraId="03810E54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Salus Populi Romani </w:t>
            </w:r>
          </w:p>
        </w:tc>
        <w:tc>
          <w:tcPr>
            <w:tcW w:w="1323" w:type="dxa"/>
          </w:tcPr>
          <w:p w14:paraId="090F61CB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Lazio</w:t>
            </w:r>
          </w:p>
        </w:tc>
        <w:tc>
          <w:tcPr>
            <w:tcW w:w="2307" w:type="dxa"/>
          </w:tcPr>
          <w:p w14:paraId="2E2761D8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Roma</w:t>
            </w:r>
          </w:p>
        </w:tc>
        <w:tc>
          <w:tcPr>
            <w:tcW w:w="2007" w:type="dxa"/>
            <w:noWrap/>
            <w:hideMark/>
          </w:tcPr>
          <w:p w14:paraId="37E15EAE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Roma</w:t>
            </w:r>
          </w:p>
        </w:tc>
        <w:tc>
          <w:tcPr>
            <w:tcW w:w="6498" w:type="dxa"/>
            <w:noWrap/>
            <w:hideMark/>
          </w:tcPr>
          <w:p w14:paraId="23550FEC" w14:textId="0F4A9EA5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Convegni con ASL coinvolgendo psicologi </w:t>
            </w:r>
            <w:proofErr w:type="gramStart"/>
            <w:r w:rsidRPr="006E7F0A">
              <w:rPr>
                <w:rFonts w:ascii="Calibri" w:hAnsi="Calibri" w:cs="Calibri"/>
              </w:rPr>
              <w:t>e</w:t>
            </w:r>
            <w:proofErr w:type="gramEnd"/>
            <w:r w:rsidRPr="006E7F0A">
              <w:rPr>
                <w:rFonts w:ascii="Calibri" w:hAnsi="Calibri" w:cs="Calibri"/>
              </w:rPr>
              <w:t xml:space="preserve"> esperti legali; necessità di percorsi terapeutici e problemi di accesso ai servizi sanitari regionali diversi fra le Asl. Collaborazione con Caritas Roma e Lazio per sensibilizzare stampa e politica sul tema.</w:t>
            </w:r>
          </w:p>
          <w:p w14:paraId="1150A0E9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</w:p>
        </w:tc>
      </w:tr>
      <w:tr w:rsidR="00E47F95" w:rsidRPr="006E7F0A" w14:paraId="52B2F9AB" w14:textId="77777777" w:rsidTr="001E0135">
        <w:trPr>
          <w:cantSplit/>
          <w:trHeight w:val="20"/>
        </w:trPr>
        <w:tc>
          <w:tcPr>
            <w:tcW w:w="511" w:type="dxa"/>
          </w:tcPr>
          <w:p w14:paraId="0D4AA566" w14:textId="4D753772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9</w:t>
            </w:r>
          </w:p>
        </w:tc>
        <w:tc>
          <w:tcPr>
            <w:tcW w:w="2375" w:type="dxa"/>
            <w:noWrap/>
            <w:hideMark/>
          </w:tcPr>
          <w:p w14:paraId="03B7FE52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Santa Maria del Soccorso </w:t>
            </w:r>
          </w:p>
        </w:tc>
        <w:tc>
          <w:tcPr>
            <w:tcW w:w="1323" w:type="dxa"/>
          </w:tcPr>
          <w:p w14:paraId="44A42F1C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Liguria</w:t>
            </w:r>
          </w:p>
        </w:tc>
        <w:tc>
          <w:tcPr>
            <w:tcW w:w="2307" w:type="dxa"/>
          </w:tcPr>
          <w:p w14:paraId="69B01C29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Genova</w:t>
            </w:r>
          </w:p>
        </w:tc>
        <w:tc>
          <w:tcPr>
            <w:tcW w:w="2007" w:type="dxa"/>
            <w:noWrap/>
            <w:hideMark/>
          </w:tcPr>
          <w:p w14:paraId="24354CAE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Genova</w:t>
            </w:r>
          </w:p>
        </w:tc>
        <w:tc>
          <w:tcPr>
            <w:tcW w:w="6498" w:type="dxa"/>
            <w:noWrap/>
            <w:hideMark/>
          </w:tcPr>
          <w:p w14:paraId="7397DD1F" w14:textId="5FA6A8CB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Incontri con scuole e collaborazione con "Mettiamoci in Gioco" per sensibilizzare le istituzioni locali; distribuzione di un libretto informativo su supporti disponibili. Partecipazione alla Consulta permanente del Comune. Percezione che i centri Caritas non sono preparati per trattare il gioco d'azzardo.</w:t>
            </w:r>
            <w:r w:rsidR="00B022A1">
              <w:rPr>
                <w:rFonts w:ascii="Calibri" w:hAnsi="Calibri" w:cs="Calibri"/>
              </w:rPr>
              <w:t xml:space="preserve"> </w:t>
            </w:r>
            <w:r w:rsidRPr="006E7F0A">
              <w:rPr>
                <w:rFonts w:ascii="Calibri" w:hAnsi="Calibri" w:cs="Calibri"/>
              </w:rPr>
              <w:t xml:space="preserve">La </w:t>
            </w:r>
            <w:r w:rsidR="00BB388A">
              <w:rPr>
                <w:rFonts w:ascii="Calibri" w:hAnsi="Calibri" w:cs="Calibri"/>
              </w:rPr>
              <w:t xml:space="preserve">F. </w:t>
            </w:r>
            <w:r w:rsidRPr="006E7F0A">
              <w:rPr>
                <w:rFonts w:ascii="Calibri" w:hAnsi="Calibri" w:cs="Calibri"/>
              </w:rPr>
              <w:t xml:space="preserve"> richiede un periodo di cura di 9 mesi-1 anno prima di affrontare il debito, con possibile nomina di un amministratore di sostegno.</w:t>
            </w:r>
          </w:p>
          <w:p w14:paraId="240AF057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</w:p>
        </w:tc>
      </w:tr>
      <w:tr w:rsidR="00E47F95" w:rsidRPr="006E7F0A" w14:paraId="03909637" w14:textId="77777777" w:rsidTr="001E0135">
        <w:trPr>
          <w:cantSplit/>
          <w:trHeight w:val="20"/>
        </w:trPr>
        <w:tc>
          <w:tcPr>
            <w:tcW w:w="511" w:type="dxa"/>
          </w:tcPr>
          <w:p w14:paraId="3720FA93" w14:textId="77BE60D3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10</w:t>
            </w:r>
          </w:p>
        </w:tc>
        <w:tc>
          <w:tcPr>
            <w:tcW w:w="2375" w:type="dxa"/>
            <w:noWrap/>
            <w:hideMark/>
          </w:tcPr>
          <w:p w14:paraId="0739B0FF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Ass. Antiracket e Antiusura della Provincia di Imperia</w:t>
            </w:r>
          </w:p>
        </w:tc>
        <w:tc>
          <w:tcPr>
            <w:tcW w:w="1323" w:type="dxa"/>
          </w:tcPr>
          <w:p w14:paraId="4B47E713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Liguria</w:t>
            </w:r>
          </w:p>
        </w:tc>
        <w:tc>
          <w:tcPr>
            <w:tcW w:w="2307" w:type="dxa"/>
          </w:tcPr>
          <w:p w14:paraId="2078A5D6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Albenga-Imperia</w:t>
            </w:r>
          </w:p>
        </w:tc>
        <w:tc>
          <w:tcPr>
            <w:tcW w:w="2007" w:type="dxa"/>
            <w:noWrap/>
            <w:hideMark/>
          </w:tcPr>
          <w:p w14:paraId="4F7EC5BA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Imperia</w:t>
            </w:r>
          </w:p>
        </w:tc>
        <w:tc>
          <w:tcPr>
            <w:tcW w:w="6498" w:type="dxa"/>
            <w:noWrap/>
            <w:hideMark/>
          </w:tcPr>
          <w:p w14:paraId="4D74593F" w14:textId="71D0A8E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Contributo a ricerca valutativa di Laboratorio per le Politiche Sociali nell’ambito del progetto della Rete Integrata </w:t>
            </w:r>
            <w:r w:rsidR="00B022A1">
              <w:rPr>
                <w:rFonts w:ascii="Calibri" w:hAnsi="Calibri" w:cs="Calibri"/>
              </w:rPr>
              <w:t>e</w:t>
            </w:r>
            <w:r w:rsidRPr="006E7F0A">
              <w:rPr>
                <w:rFonts w:ascii="Calibri" w:hAnsi="Calibri" w:cs="Calibri"/>
              </w:rPr>
              <w:t xml:space="preserve"> </w:t>
            </w:r>
            <w:proofErr w:type="gramStart"/>
            <w:r w:rsidRPr="006E7F0A">
              <w:rPr>
                <w:rFonts w:ascii="Calibri" w:hAnsi="Calibri" w:cs="Calibri"/>
              </w:rPr>
              <w:t>Socio-sanitaria</w:t>
            </w:r>
            <w:proofErr w:type="gramEnd"/>
            <w:r w:rsidRPr="006E7F0A">
              <w:rPr>
                <w:rFonts w:ascii="Calibri" w:hAnsi="Calibri" w:cs="Calibri"/>
              </w:rPr>
              <w:t xml:space="preserve"> per il Contrasto e l’Opportunità di uscita dalla ludopatia, finanziato dal MLPS.</w:t>
            </w:r>
            <w:r w:rsidRPr="006E7F0A">
              <w:rPr>
                <w:rFonts w:ascii="Calibri" w:hAnsi="Calibri" w:cs="Calibri"/>
              </w:rPr>
              <w:br/>
            </w:r>
          </w:p>
        </w:tc>
      </w:tr>
      <w:tr w:rsidR="00E47F95" w:rsidRPr="006E7F0A" w14:paraId="4F89629C" w14:textId="77777777" w:rsidTr="001E0135">
        <w:trPr>
          <w:cantSplit/>
          <w:trHeight w:val="20"/>
        </w:trPr>
        <w:tc>
          <w:tcPr>
            <w:tcW w:w="511" w:type="dxa"/>
          </w:tcPr>
          <w:p w14:paraId="5CDF64AA" w14:textId="4914019E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1</w:t>
            </w:r>
            <w:r w:rsidR="009D2EC0" w:rsidRPr="006E7F0A">
              <w:rPr>
                <w:rFonts w:ascii="Calibri" w:hAnsi="Calibri" w:cs="Calibri"/>
              </w:rPr>
              <w:t>1</w:t>
            </w:r>
          </w:p>
        </w:tc>
        <w:tc>
          <w:tcPr>
            <w:tcW w:w="2375" w:type="dxa"/>
            <w:noWrap/>
            <w:hideMark/>
          </w:tcPr>
          <w:p w14:paraId="0125BFCE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San Bernardino </w:t>
            </w:r>
          </w:p>
        </w:tc>
        <w:tc>
          <w:tcPr>
            <w:tcW w:w="1323" w:type="dxa"/>
          </w:tcPr>
          <w:p w14:paraId="203BE07C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Lombardia</w:t>
            </w:r>
          </w:p>
        </w:tc>
        <w:tc>
          <w:tcPr>
            <w:tcW w:w="2307" w:type="dxa"/>
          </w:tcPr>
          <w:p w14:paraId="341FB3B0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Milano</w:t>
            </w:r>
          </w:p>
        </w:tc>
        <w:tc>
          <w:tcPr>
            <w:tcW w:w="2007" w:type="dxa"/>
            <w:noWrap/>
            <w:hideMark/>
          </w:tcPr>
          <w:p w14:paraId="3F3D4695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Milano</w:t>
            </w:r>
          </w:p>
        </w:tc>
        <w:tc>
          <w:tcPr>
            <w:tcW w:w="6498" w:type="dxa"/>
            <w:noWrap/>
            <w:hideMark/>
          </w:tcPr>
          <w:p w14:paraId="2CC9A9F2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Incontri con i familiari di persone dipendenti dall’azzardo non in carico ai servizi per le dipendenze.</w:t>
            </w:r>
          </w:p>
        </w:tc>
      </w:tr>
      <w:tr w:rsidR="00E47F95" w:rsidRPr="006E7F0A" w14:paraId="4FCCAE3A" w14:textId="77777777" w:rsidTr="001E0135">
        <w:trPr>
          <w:cantSplit/>
          <w:trHeight w:val="20"/>
        </w:trPr>
        <w:tc>
          <w:tcPr>
            <w:tcW w:w="511" w:type="dxa"/>
          </w:tcPr>
          <w:p w14:paraId="6498CF44" w14:textId="49F051A6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1</w:t>
            </w:r>
            <w:r w:rsidR="009D2EC0" w:rsidRPr="006E7F0A">
              <w:rPr>
                <w:rFonts w:ascii="Calibri" w:hAnsi="Calibri" w:cs="Calibri"/>
              </w:rPr>
              <w:t>2</w:t>
            </w:r>
          </w:p>
        </w:tc>
        <w:tc>
          <w:tcPr>
            <w:tcW w:w="2375" w:type="dxa"/>
            <w:noWrap/>
            <w:hideMark/>
          </w:tcPr>
          <w:p w14:paraId="55544050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Mons. Francesco Traini contro l’usura </w:t>
            </w:r>
          </w:p>
        </w:tc>
        <w:tc>
          <w:tcPr>
            <w:tcW w:w="1323" w:type="dxa"/>
          </w:tcPr>
          <w:p w14:paraId="1C342A63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Marche</w:t>
            </w:r>
          </w:p>
        </w:tc>
        <w:tc>
          <w:tcPr>
            <w:tcW w:w="2307" w:type="dxa"/>
          </w:tcPr>
          <w:p w14:paraId="184ACBF8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San Benedetto del Tronto-Ripatransone-Montalto</w:t>
            </w:r>
          </w:p>
        </w:tc>
        <w:tc>
          <w:tcPr>
            <w:tcW w:w="2007" w:type="dxa"/>
            <w:noWrap/>
            <w:hideMark/>
          </w:tcPr>
          <w:p w14:paraId="087F9ED2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San Benedetto del Tronto (AP)</w:t>
            </w:r>
          </w:p>
        </w:tc>
        <w:tc>
          <w:tcPr>
            <w:tcW w:w="6498" w:type="dxa"/>
            <w:noWrap/>
            <w:hideMark/>
          </w:tcPr>
          <w:p w14:paraId="22FC9AD5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Partecipazione a progetti con l’</w:t>
            </w:r>
            <w:proofErr w:type="spellStart"/>
            <w:r w:rsidRPr="006E7F0A">
              <w:rPr>
                <w:rFonts w:ascii="Calibri" w:hAnsi="Calibri" w:cs="Calibri"/>
              </w:rPr>
              <w:t>Asur</w:t>
            </w:r>
            <w:proofErr w:type="spellEnd"/>
            <w:r w:rsidRPr="006E7F0A">
              <w:rPr>
                <w:rFonts w:ascii="Calibri" w:hAnsi="Calibri" w:cs="Calibri"/>
              </w:rPr>
              <w:t xml:space="preserve"> 5 (azienda sanitaria) e altre Associazioni, per elaborare linee guida sulla prevenzione delle dipendenze, con azioni in scuole e altri luoghi aggregativi, consulenze e percorsi specifici.</w:t>
            </w:r>
          </w:p>
        </w:tc>
      </w:tr>
      <w:tr w:rsidR="00E47F95" w:rsidRPr="006E7F0A" w14:paraId="7D8D4598" w14:textId="77777777" w:rsidTr="001E0135">
        <w:trPr>
          <w:cantSplit/>
          <w:trHeight w:val="20"/>
        </w:trPr>
        <w:tc>
          <w:tcPr>
            <w:tcW w:w="511" w:type="dxa"/>
          </w:tcPr>
          <w:p w14:paraId="7A44C088" w14:textId="794CEEB5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1</w:t>
            </w:r>
            <w:r w:rsidR="009D2EC0" w:rsidRPr="006E7F0A">
              <w:rPr>
                <w:rFonts w:ascii="Calibri" w:hAnsi="Calibri" w:cs="Calibri"/>
              </w:rPr>
              <w:t>3</w:t>
            </w:r>
          </w:p>
        </w:tc>
        <w:tc>
          <w:tcPr>
            <w:tcW w:w="2375" w:type="dxa"/>
            <w:noWrap/>
            <w:hideMark/>
          </w:tcPr>
          <w:p w14:paraId="3A9B1CF7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San Matteo - Insieme Contro L’usura </w:t>
            </w:r>
          </w:p>
        </w:tc>
        <w:tc>
          <w:tcPr>
            <w:tcW w:w="1323" w:type="dxa"/>
          </w:tcPr>
          <w:p w14:paraId="6BB2F76F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Piemonte</w:t>
            </w:r>
          </w:p>
        </w:tc>
        <w:tc>
          <w:tcPr>
            <w:tcW w:w="2307" w:type="dxa"/>
          </w:tcPr>
          <w:p w14:paraId="4BCB5702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Torino</w:t>
            </w:r>
          </w:p>
        </w:tc>
        <w:tc>
          <w:tcPr>
            <w:tcW w:w="2007" w:type="dxa"/>
            <w:noWrap/>
            <w:hideMark/>
          </w:tcPr>
          <w:p w14:paraId="52D5C0F7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Torino</w:t>
            </w:r>
          </w:p>
        </w:tc>
        <w:tc>
          <w:tcPr>
            <w:tcW w:w="6498" w:type="dxa"/>
            <w:noWrap/>
            <w:hideMark/>
          </w:tcPr>
          <w:p w14:paraId="6D58AA61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Collaborazione con Libera Piemonte e altri enti per una legge regionale di iniziativa popolare per la prevenzione e il contrasto alla diffusione del </w:t>
            </w:r>
            <w:proofErr w:type="gramStart"/>
            <w:r w:rsidRPr="006E7F0A">
              <w:rPr>
                <w:rFonts w:ascii="Calibri" w:hAnsi="Calibri" w:cs="Calibri"/>
              </w:rPr>
              <w:t>gap</w:t>
            </w:r>
            <w:proofErr w:type="gramEnd"/>
            <w:r w:rsidRPr="006E7F0A">
              <w:rPr>
                <w:rFonts w:ascii="Calibri" w:hAnsi="Calibri" w:cs="Calibri"/>
              </w:rPr>
              <w:t>. Iniziative contro il gioco d'azzardo e il sovraindebitamento, inclusa una convenzione con ASL e collaborazione con l'Osservatorio Metropolitano del Sovraindebitamento.</w:t>
            </w:r>
          </w:p>
        </w:tc>
      </w:tr>
      <w:tr w:rsidR="00E47F95" w:rsidRPr="006E7F0A" w14:paraId="77038FBB" w14:textId="77777777" w:rsidTr="001E0135">
        <w:trPr>
          <w:cantSplit/>
          <w:trHeight w:val="20"/>
        </w:trPr>
        <w:tc>
          <w:tcPr>
            <w:tcW w:w="511" w:type="dxa"/>
          </w:tcPr>
          <w:p w14:paraId="2FB3C9E3" w14:textId="056AED23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2375" w:type="dxa"/>
            <w:noWrap/>
          </w:tcPr>
          <w:p w14:paraId="1F54D213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San Nicola e Santi Medici</w:t>
            </w:r>
          </w:p>
        </w:tc>
        <w:tc>
          <w:tcPr>
            <w:tcW w:w="1323" w:type="dxa"/>
          </w:tcPr>
          <w:p w14:paraId="140BD6C1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Puglia</w:t>
            </w:r>
          </w:p>
        </w:tc>
        <w:tc>
          <w:tcPr>
            <w:tcW w:w="2307" w:type="dxa"/>
          </w:tcPr>
          <w:p w14:paraId="253A7844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Bari-Bitonto</w:t>
            </w:r>
          </w:p>
        </w:tc>
        <w:tc>
          <w:tcPr>
            <w:tcW w:w="2007" w:type="dxa"/>
            <w:noWrap/>
          </w:tcPr>
          <w:p w14:paraId="4F248D7D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Bari</w:t>
            </w:r>
          </w:p>
        </w:tc>
        <w:tc>
          <w:tcPr>
            <w:tcW w:w="6498" w:type="dxa"/>
            <w:noWrap/>
          </w:tcPr>
          <w:p w14:paraId="4854C482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Collaborazione con Gruppo giocatori anonimi per un percorso di recupero prima di prendere in considerazione l’intervento finanziario.</w:t>
            </w:r>
          </w:p>
        </w:tc>
      </w:tr>
      <w:tr w:rsidR="00E47F95" w:rsidRPr="006E7F0A" w14:paraId="202F1D37" w14:textId="77777777" w:rsidTr="001E0135">
        <w:trPr>
          <w:cantSplit/>
          <w:trHeight w:val="301"/>
        </w:trPr>
        <w:tc>
          <w:tcPr>
            <w:tcW w:w="511" w:type="dxa"/>
          </w:tcPr>
          <w:p w14:paraId="5EADF756" w14:textId="1D97DDD0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1</w:t>
            </w:r>
            <w:r w:rsidR="009D2EC0" w:rsidRPr="006E7F0A">
              <w:rPr>
                <w:rFonts w:ascii="Calibri" w:hAnsi="Calibri" w:cs="Calibri"/>
              </w:rPr>
              <w:t>5</w:t>
            </w:r>
          </w:p>
        </w:tc>
        <w:tc>
          <w:tcPr>
            <w:tcW w:w="2375" w:type="dxa"/>
            <w:noWrap/>
            <w:hideMark/>
          </w:tcPr>
          <w:p w14:paraId="52F68891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Mons. Vito De </w:t>
            </w:r>
            <w:proofErr w:type="spellStart"/>
            <w:r w:rsidRPr="006E7F0A">
              <w:rPr>
                <w:rFonts w:ascii="Calibri" w:hAnsi="Calibri" w:cs="Calibri"/>
              </w:rPr>
              <w:t>Grisantis</w:t>
            </w:r>
            <w:proofErr w:type="spellEnd"/>
            <w:r w:rsidRPr="006E7F0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23" w:type="dxa"/>
          </w:tcPr>
          <w:p w14:paraId="56E1F2D9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Puglia</w:t>
            </w:r>
          </w:p>
        </w:tc>
        <w:tc>
          <w:tcPr>
            <w:tcW w:w="2307" w:type="dxa"/>
          </w:tcPr>
          <w:p w14:paraId="352E564F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Ugento-Santa Maria di Leuca</w:t>
            </w:r>
          </w:p>
        </w:tc>
        <w:tc>
          <w:tcPr>
            <w:tcW w:w="2007" w:type="dxa"/>
            <w:noWrap/>
            <w:hideMark/>
          </w:tcPr>
          <w:p w14:paraId="4DB1E89E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Tricase (LE)</w:t>
            </w:r>
          </w:p>
        </w:tc>
        <w:tc>
          <w:tcPr>
            <w:tcW w:w="6498" w:type="dxa"/>
            <w:noWrap/>
            <w:hideMark/>
          </w:tcPr>
          <w:p w14:paraId="56E00BDD" w14:textId="471D99F9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Laboratorio sulla prevenzione del GAP per studenti delle scuole superiori, focalizzato su aspetti sociali e psicologici. Monitoraggio del fenomeno della ludopatia, raccogliendo dati da enti locali e parrocchie per comprendere meglio il fenomeno.</w:t>
            </w:r>
          </w:p>
          <w:p w14:paraId="6C33F446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</w:p>
        </w:tc>
      </w:tr>
      <w:tr w:rsidR="00E47F95" w:rsidRPr="006E7F0A" w14:paraId="7F92133A" w14:textId="77777777" w:rsidTr="001E0135">
        <w:trPr>
          <w:cantSplit/>
          <w:trHeight w:val="20"/>
        </w:trPr>
        <w:tc>
          <w:tcPr>
            <w:tcW w:w="511" w:type="dxa"/>
          </w:tcPr>
          <w:p w14:paraId="4A807D27" w14:textId="66254376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1</w:t>
            </w:r>
            <w:r w:rsidR="009D2EC0" w:rsidRPr="006E7F0A">
              <w:rPr>
                <w:rFonts w:ascii="Calibri" w:hAnsi="Calibri" w:cs="Calibri"/>
              </w:rPr>
              <w:t>6</w:t>
            </w:r>
          </w:p>
        </w:tc>
        <w:tc>
          <w:tcPr>
            <w:tcW w:w="2375" w:type="dxa"/>
            <w:noWrap/>
            <w:hideMark/>
          </w:tcPr>
          <w:p w14:paraId="3E4E2785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Sant’Ignazio da Laconi </w:t>
            </w:r>
          </w:p>
        </w:tc>
        <w:tc>
          <w:tcPr>
            <w:tcW w:w="1323" w:type="dxa"/>
          </w:tcPr>
          <w:p w14:paraId="574EF7CD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Sardegna</w:t>
            </w:r>
          </w:p>
        </w:tc>
        <w:tc>
          <w:tcPr>
            <w:tcW w:w="2307" w:type="dxa"/>
          </w:tcPr>
          <w:p w14:paraId="0B854F30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Cagliari</w:t>
            </w:r>
          </w:p>
        </w:tc>
        <w:tc>
          <w:tcPr>
            <w:tcW w:w="2007" w:type="dxa"/>
            <w:noWrap/>
            <w:hideMark/>
          </w:tcPr>
          <w:p w14:paraId="143BA481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Cagliari</w:t>
            </w:r>
          </w:p>
        </w:tc>
        <w:tc>
          <w:tcPr>
            <w:tcW w:w="6498" w:type="dxa"/>
            <w:noWrap/>
            <w:hideMark/>
          </w:tcPr>
          <w:p w14:paraId="4F22A7F4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Incontri con studenti delle scuole medie e superiori. Partecipazione a iniziative come il progetto del </w:t>
            </w:r>
            <w:proofErr w:type="spellStart"/>
            <w:r w:rsidRPr="006E7F0A">
              <w:rPr>
                <w:rFonts w:ascii="Calibri" w:hAnsi="Calibri" w:cs="Calibri"/>
              </w:rPr>
              <w:t>Moica</w:t>
            </w:r>
            <w:proofErr w:type="spellEnd"/>
            <w:r w:rsidRPr="006E7F0A">
              <w:rPr>
                <w:rFonts w:ascii="Calibri" w:hAnsi="Calibri" w:cs="Calibri"/>
              </w:rPr>
              <w:t xml:space="preserve"> finanziato dal Ministero della Salute e una collaborazione con il dipartimento di salute mentale dell'ASL. Promozione di un decalogo di buone pratiche per i giocatori in collaborazione con bar e tabaccai.</w:t>
            </w:r>
          </w:p>
        </w:tc>
      </w:tr>
      <w:tr w:rsidR="00E47F95" w:rsidRPr="006E7F0A" w14:paraId="0A36A1CE" w14:textId="77777777" w:rsidTr="001E0135">
        <w:trPr>
          <w:cantSplit/>
          <w:trHeight w:val="20"/>
        </w:trPr>
        <w:tc>
          <w:tcPr>
            <w:tcW w:w="511" w:type="dxa"/>
          </w:tcPr>
          <w:p w14:paraId="21F8A53D" w14:textId="31B1C2B6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17</w:t>
            </w:r>
          </w:p>
        </w:tc>
        <w:tc>
          <w:tcPr>
            <w:tcW w:w="2375" w:type="dxa"/>
            <w:noWrap/>
          </w:tcPr>
          <w:p w14:paraId="5AE7D0BA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Santi Simplicio e Antonio</w:t>
            </w:r>
          </w:p>
        </w:tc>
        <w:tc>
          <w:tcPr>
            <w:tcW w:w="1323" w:type="dxa"/>
          </w:tcPr>
          <w:p w14:paraId="0A3F58EC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Sardegna</w:t>
            </w:r>
          </w:p>
        </w:tc>
        <w:tc>
          <w:tcPr>
            <w:tcW w:w="2307" w:type="dxa"/>
          </w:tcPr>
          <w:p w14:paraId="3B43180C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  <w:lang w:eastAsia="it-IT"/>
              </w:rPr>
              <w:t>Tempio-Ampurias</w:t>
            </w:r>
          </w:p>
        </w:tc>
        <w:tc>
          <w:tcPr>
            <w:tcW w:w="2007" w:type="dxa"/>
            <w:noWrap/>
          </w:tcPr>
          <w:p w14:paraId="17FE54AF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Tempio Pausania</w:t>
            </w:r>
          </w:p>
        </w:tc>
        <w:tc>
          <w:tcPr>
            <w:tcW w:w="6498" w:type="dxa"/>
            <w:noWrap/>
          </w:tcPr>
          <w:p w14:paraId="13038CA0" w14:textId="791EE5B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Attività educative e di sensibilizzazione nelle scuole. Coinvolgimento nel piano CAP con sportelli e progetti per offrire prevenzione, educazione e percorsi terapeutici in collaborazione con il Sert per la ludopatia. In caso di interventi finanziari legati al gioco d’azzardo, </w:t>
            </w:r>
            <w:r w:rsidR="00BB388A">
              <w:rPr>
                <w:rFonts w:ascii="Calibri" w:hAnsi="Calibri" w:cs="Calibri"/>
              </w:rPr>
              <w:t xml:space="preserve">la F. </w:t>
            </w:r>
            <w:r w:rsidRPr="006E7F0A">
              <w:rPr>
                <w:rFonts w:ascii="Calibri" w:hAnsi="Calibri" w:cs="Calibri"/>
              </w:rPr>
              <w:t>propone la nomina di un amministratore di sostegno.</w:t>
            </w:r>
          </w:p>
        </w:tc>
      </w:tr>
      <w:tr w:rsidR="00E47F95" w:rsidRPr="006E7F0A" w14:paraId="221E568C" w14:textId="77777777" w:rsidTr="001E0135">
        <w:trPr>
          <w:cantSplit/>
          <w:trHeight w:val="20"/>
        </w:trPr>
        <w:tc>
          <w:tcPr>
            <w:tcW w:w="511" w:type="dxa"/>
          </w:tcPr>
          <w:p w14:paraId="6CEA20D8" w14:textId="7A290604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18</w:t>
            </w:r>
          </w:p>
        </w:tc>
        <w:tc>
          <w:tcPr>
            <w:tcW w:w="2375" w:type="dxa"/>
            <w:noWrap/>
            <w:hideMark/>
          </w:tcPr>
          <w:p w14:paraId="6CFAE378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Padre Pino Puglisi </w:t>
            </w:r>
          </w:p>
        </w:tc>
        <w:tc>
          <w:tcPr>
            <w:tcW w:w="1323" w:type="dxa"/>
          </w:tcPr>
          <w:p w14:paraId="6FF56D19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Sicilia </w:t>
            </w:r>
          </w:p>
        </w:tc>
        <w:tc>
          <w:tcPr>
            <w:tcW w:w="2307" w:type="dxa"/>
          </w:tcPr>
          <w:p w14:paraId="356757B0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Messina-Lipari- Santa Lucia del Mela</w:t>
            </w:r>
          </w:p>
        </w:tc>
        <w:tc>
          <w:tcPr>
            <w:tcW w:w="2007" w:type="dxa"/>
            <w:noWrap/>
            <w:hideMark/>
          </w:tcPr>
          <w:p w14:paraId="589BBB4D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Messina</w:t>
            </w:r>
          </w:p>
        </w:tc>
        <w:tc>
          <w:tcPr>
            <w:tcW w:w="6498" w:type="dxa"/>
            <w:noWrap/>
            <w:hideMark/>
          </w:tcPr>
          <w:p w14:paraId="696D53EF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Incontri nelle scuole, anche in coordinamento con campagna “Mettiamoci in gioco” </w:t>
            </w:r>
            <w:r w:rsidRPr="006E7F0A">
              <w:rPr>
                <w:rFonts w:ascii="Calibri" w:hAnsi="Calibri" w:cs="Calibri"/>
                <w:lang w:eastAsia="it-IT"/>
              </w:rPr>
              <w:t>e collaborazione con altri enti per il bando Asp sulla prevenzione del GAP.</w:t>
            </w:r>
          </w:p>
          <w:p w14:paraId="2239E54C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</w:p>
        </w:tc>
      </w:tr>
      <w:tr w:rsidR="00E47F95" w:rsidRPr="006E7F0A" w14:paraId="1F182E65" w14:textId="77777777" w:rsidTr="001E0135">
        <w:trPr>
          <w:cantSplit/>
          <w:trHeight w:val="20"/>
        </w:trPr>
        <w:tc>
          <w:tcPr>
            <w:tcW w:w="511" w:type="dxa"/>
          </w:tcPr>
          <w:p w14:paraId="00EB0CB5" w14:textId="50AF3428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1</w:t>
            </w:r>
            <w:r w:rsidR="009D2EC0" w:rsidRPr="006E7F0A">
              <w:rPr>
                <w:rFonts w:ascii="Calibri" w:hAnsi="Calibri" w:cs="Calibri"/>
              </w:rPr>
              <w:t>9</w:t>
            </w:r>
          </w:p>
        </w:tc>
        <w:tc>
          <w:tcPr>
            <w:tcW w:w="2375" w:type="dxa"/>
            <w:noWrap/>
            <w:hideMark/>
          </w:tcPr>
          <w:p w14:paraId="5453390B" w14:textId="76C7D7D0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</w:t>
            </w:r>
            <w:r w:rsidR="00B309A8">
              <w:rPr>
                <w:rFonts w:ascii="Calibri" w:hAnsi="Calibri" w:cs="Calibri"/>
              </w:rPr>
              <w:t>anti</w:t>
            </w:r>
            <w:r w:rsidRPr="006E7F0A">
              <w:rPr>
                <w:rFonts w:ascii="Calibri" w:hAnsi="Calibri" w:cs="Calibri"/>
              </w:rPr>
              <w:t xml:space="preserve"> Mamiliano e Rosalia </w:t>
            </w:r>
          </w:p>
        </w:tc>
        <w:tc>
          <w:tcPr>
            <w:tcW w:w="1323" w:type="dxa"/>
          </w:tcPr>
          <w:p w14:paraId="17C04B2B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Sicilia</w:t>
            </w:r>
          </w:p>
        </w:tc>
        <w:tc>
          <w:tcPr>
            <w:tcW w:w="2307" w:type="dxa"/>
          </w:tcPr>
          <w:p w14:paraId="47106C57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Palermo</w:t>
            </w:r>
          </w:p>
        </w:tc>
        <w:tc>
          <w:tcPr>
            <w:tcW w:w="2007" w:type="dxa"/>
            <w:noWrap/>
            <w:hideMark/>
          </w:tcPr>
          <w:p w14:paraId="5C191687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Palermo</w:t>
            </w:r>
          </w:p>
        </w:tc>
        <w:tc>
          <w:tcPr>
            <w:tcW w:w="6498" w:type="dxa"/>
            <w:noWrap/>
            <w:hideMark/>
          </w:tcPr>
          <w:p w14:paraId="4982197A" w14:textId="5EDCFCE9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  <w:lang w:eastAsia="it-IT"/>
              </w:rPr>
              <w:t>Collaborazione informale con Asp di Palermo per l’invio di persone in cerca di aiuto</w:t>
            </w:r>
            <w:r w:rsidRPr="006E7F0A">
              <w:rPr>
                <w:rFonts w:ascii="Calibri" w:hAnsi="Calibri" w:cs="Calibri"/>
              </w:rPr>
              <w:t>. P</w:t>
            </w:r>
            <w:r w:rsidRPr="006E7F0A">
              <w:rPr>
                <w:rFonts w:ascii="Calibri" w:hAnsi="Calibri" w:cs="Calibri"/>
                <w:lang w:eastAsia="it-IT"/>
              </w:rPr>
              <w:t>roposta di maggiore cooperazione con le Caritas e le parrocchie per sensibilizzare sull'esistenza</w:t>
            </w:r>
            <w:r w:rsidRPr="006E7F0A">
              <w:rPr>
                <w:rFonts w:ascii="Calibri" w:hAnsi="Calibri" w:cs="Calibri"/>
              </w:rPr>
              <w:t xml:space="preserve"> del</w:t>
            </w:r>
            <w:r w:rsidRPr="006E7F0A">
              <w:rPr>
                <w:rFonts w:ascii="Calibri" w:hAnsi="Calibri" w:cs="Calibri"/>
                <w:lang w:eastAsia="it-IT"/>
              </w:rPr>
              <w:t>la Fondazione.</w:t>
            </w:r>
          </w:p>
        </w:tc>
      </w:tr>
      <w:tr w:rsidR="00E47F95" w:rsidRPr="006E7F0A" w14:paraId="374852C4" w14:textId="77777777" w:rsidTr="001E0135">
        <w:trPr>
          <w:cantSplit/>
          <w:trHeight w:val="20"/>
        </w:trPr>
        <w:tc>
          <w:tcPr>
            <w:tcW w:w="511" w:type="dxa"/>
          </w:tcPr>
          <w:p w14:paraId="7DB8A0B2" w14:textId="6FCF87FF" w:rsidR="00E47F95" w:rsidRPr="006E7F0A" w:rsidRDefault="009D2EC0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20</w:t>
            </w:r>
          </w:p>
        </w:tc>
        <w:tc>
          <w:tcPr>
            <w:tcW w:w="2375" w:type="dxa"/>
            <w:noWrap/>
            <w:hideMark/>
          </w:tcPr>
          <w:p w14:paraId="2EF9BBDC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Toscana per la Prevenzione dell’usura </w:t>
            </w:r>
          </w:p>
        </w:tc>
        <w:tc>
          <w:tcPr>
            <w:tcW w:w="1323" w:type="dxa"/>
          </w:tcPr>
          <w:p w14:paraId="3DA8AFAD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Toscana</w:t>
            </w:r>
          </w:p>
        </w:tc>
        <w:tc>
          <w:tcPr>
            <w:tcW w:w="2307" w:type="dxa"/>
          </w:tcPr>
          <w:p w14:paraId="0B686800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Siena-Colle di Val d'Elsa-Montalcino</w:t>
            </w:r>
          </w:p>
        </w:tc>
        <w:tc>
          <w:tcPr>
            <w:tcW w:w="2007" w:type="dxa"/>
            <w:noWrap/>
            <w:hideMark/>
          </w:tcPr>
          <w:p w14:paraId="3F6A8DE9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>Siena</w:t>
            </w:r>
          </w:p>
        </w:tc>
        <w:tc>
          <w:tcPr>
            <w:tcW w:w="6498" w:type="dxa"/>
            <w:noWrap/>
            <w:hideMark/>
          </w:tcPr>
          <w:p w14:paraId="75D2E92D" w14:textId="77777777" w:rsidR="00E47F95" w:rsidRPr="006E7F0A" w:rsidRDefault="00E47F95" w:rsidP="006E7F0A">
            <w:pPr>
              <w:rPr>
                <w:rFonts w:ascii="Calibri" w:hAnsi="Calibri" w:cs="Calibri"/>
              </w:rPr>
            </w:pPr>
            <w:r w:rsidRPr="006E7F0A">
              <w:rPr>
                <w:rFonts w:ascii="Calibri" w:hAnsi="Calibri" w:cs="Calibri"/>
              </w:rPr>
              <w:t xml:space="preserve">Attività di formazione per dipendenti banche ed altri promossa in collaborazione con l’Università di Siena </w:t>
            </w:r>
          </w:p>
        </w:tc>
      </w:tr>
    </w:tbl>
    <w:p w14:paraId="298A4212" w14:textId="77777777" w:rsidR="006E5DCF" w:rsidRPr="006E7F0A" w:rsidRDefault="006E5DCF" w:rsidP="007A0ACF">
      <w:pPr>
        <w:rPr>
          <w:rFonts w:ascii="Calibri" w:hAnsi="Calibri" w:cs="Calibri"/>
        </w:rPr>
      </w:pPr>
    </w:p>
    <w:sectPr w:rsidR="006E5DCF" w:rsidRPr="006E7F0A" w:rsidSect="0000103E">
      <w:footerReference w:type="default" r:id="rId7"/>
      <w:pgSz w:w="16838" w:h="11906" w:orient="landscape"/>
      <w:pgMar w:top="709" w:right="851" w:bottom="993" w:left="851" w:header="709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F9600" w14:textId="77777777" w:rsidR="009D2EC0" w:rsidRDefault="009D2EC0" w:rsidP="009D2EC0">
      <w:pPr>
        <w:spacing w:after="0" w:line="240" w:lineRule="auto"/>
      </w:pPr>
      <w:r>
        <w:separator/>
      </w:r>
    </w:p>
  </w:endnote>
  <w:endnote w:type="continuationSeparator" w:id="0">
    <w:p w14:paraId="144DA424" w14:textId="77777777" w:rsidR="009D2EC0" w:rsidRDefault="009D2EC0" w:rsidP="009D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3124278"/>
      <w:docPartObj>
        <w:docPartGallery w:val="Page Numbers (Bottom of Page)"/>
        <w:docPartUnique/>
      </w:docPartObj>
    </w:sdtPr>
    <w:sdtEndPr/>
    <w:sdtContent>
      <w:p w14:paraId="3EA3825A" w14:textId="30B65B2A" w:rsidR="009D2EC0" w:rsidRDefault="009D2EC0">
        <w:pPr>
          <w:pStyle w:val="Pidipagina"/>
          <w:jc w:val="center"/>
        </w:pPr>
        <w:r w:rsidRPr="009D2EC0">
          <w:rPr>
            <w:rFonts w:ascii="Calibri" w:hAnsi="Calibri" w:cs="Calibri"/>
          </w:rPr>
          <w:fldChar w:fldCharType="begin"/>
        </w:r>
        <w:r w:rsidRPr="009D2EC0">
          <w:rPr>
            <w:rFonts w:ascii="Calibri" w:hAnsi="Calibri" w:cs="Calibri"/>
          </w:rPr>
          <w:instrText>PAGE   \* MERGEFORMAT</w:instrText>
        </w:r>
        <w:r w:rsidRPr="009D2EC0">
          <w:rPr>
            <w:rFonts w:ascii="Calibri" w:hAnsi="Calibri" w:cs="Calibri"/>
          </w:rPr>
          <w:fldChar w:fldCharType="separate"/>
        </w:r>
        <w:r w:rsidRPr="009D2EC0">
          <w:rPr>
            <w:rFonts w:ascii="Calibri" w:hAnsi="Calibri" w:cs="Calibri"/>
          </w:rPr>
          <w:t>2</w:t>
        </w:r>
        <w:r w:rsidRPr="009D2EC0">
          <w:rPr>
            <w:rFonts w:ascii="Calibri" w:hAnsi="Calibri" w:cs="Calibri"/>
          </w:rPr>
          <w:fldChar w:fldCharType="end"/>
        </w:r>
      </w:p>
    </w:sdtContent>
  </w:sdt>
  <w:p w14:paraId="4469EF21" w14:textId="77777777" w:rsidR="009D2EC0" w:rsidRDefault="009D2E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76047" w14:textId="77777777" w:rsidR="009D2EC0" w:rsidRDefault="009D2EC0" w:rsidP="009D2EC0">
      <w:pPr>
        <w:spacing w:after="0" w:line="240" w:lineRule="auto"/>
      </w:pPr>
      <w:r>
        <w:separator/>
      </w:r>
    </w:p>
  </w:footnote>
  <w:footnote w:type="continuationSeparator" w:id="0">
    <w:p w14:paraId="1A0339AF" w14:textId="77777777" w:rsidR="009D2EC0" w:rsidRDefault="009D2EC0" w:rsidP="009D2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3B534F"/>
    <w:multiLevelType w:val="multilevel"/>
    <w:tmpl w:val="D6E0E426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 w:cs="Times New Roman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8056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CF"/>
    <w:rsid w:val="00000C97"/>
    <w:rsid w:val="0000103E"/>
    <w:rsid w:val="000100EB"/>
    <w:rsid w:val="000217EC"/>
    <w:rsid w:val="00021D32"/>
    <w:rsid w:val="000500F3"/>
    <w:rsid w:val="000571D3"/>
    <w:rsid w:val="00096166"/>
    <w:rsid w:val="000A5471"/>
    <w:rsid w:val="000A7A56"/>
    <w:rsid w:val="000B13C1"/>
    <w:rsid w:val="000C275F"/>
    <w:rsid w:val="000C2917"/>
    <w:rsid w:val="000D59AF"/>
    <w:rsid w:val="000E70EB"/>
    <w:rsid w:val="00116C0F"/>
    <w:rsid w:val="00123825"/>
    <w:rsid w:val="00166A73"/>
    <w:rsid w:val="00170BF5"/>
    <w:rsid w:val="00171C9D"/>
    <w:rsid w:val="00172B33"/>
    <w:rsid w:val="001A48AB"/>
    <w:rsid w:val="001B5671"/>
    <w:rsid w:val="001E0135"/>
    <w:rsid w:val="001F6F2D"/>
    <w:rsid w:val="002060A7"/>
    <w:rsid w:val="002614E5"/>
    <w:rsid w:val="002636C1"/>
    <w:rsid w:val="00293526"/>
    <w:rsid w:val="002B1EF0"/>
    <w:rsid w:val="002B3571"/>
    <w:rsid w:val="002D5EBA"/>
    <w:rsid w:val="002E005F"/>
    <w:rsid w:val="003169F3"/>
    <w:rsid w:val="00334023"/>
    <w:rsid w:val="00334704"/>
    <w:rsid w:val="003622C5"/>
    <w:rsid w:val="0036491C"/>
    <w:rsid w:val="00385A3E"/>
    <w:rsid w:val="00385AD8"/>
    <w:rsid w:val="00387DD1"/>
    <w:rsid w:val="0039387A"/>
    <w:rsid w:val="00393E3A"/>
    <w:rsid w:val="003C174B"/>
    <w:rsid w:val="003C3EAB"/>
    <w:rsid w:val="003C7F6A"/>
    <w:rsid w:val="003D52CA"/>
    <w:rsid w:val="003D6213"/>
    <w:rsid w:val="003E3B7B"/>
    <w:rsid w:val="003F5BFA"/>
    <w:rsid w:val="00411B2C"/>
    <w:rsid w:val="0041418A"/>
    <w:rsid w:val="004154F4"/>
    <w:rsid w:val="004522D6"/>
    <w:rsid w:val="00453CC7"/>
    <w:rsid w:val="004568FF"/>
    <w:rsid w:val="00470F98"/>
    <w:rsid w:val="0047617E"/>
    <w:rsid w:val="004828B6"/>
    <w:rsid w:val="004C2CEA"/>
    <w:rsid w:val="004F7D44"/>
    <w:rsid w:val="00504418"/>
    <w:rsid w:val="005203C4"/>
    <w:rsid w:val="0053250E"/>
    <w:rsid w:val="00535DF6"/>
    <w:rsid w:val="0055234B"/>
    <w:rsid w:val="005843BB"/>
    <w:rsid w:val="00586278"/>
    <w:rsid w:val="005C3381"/>
    <w:rsid w:val="005D15F2"/>
    <w:rsid w:val="00625AC6"/>
    <w:rsid w:val="006506D3"/>
    <w:rsid w:val="00666809"/>
    <w:rsid w:val="00670F45"/>
    <w:rsid w:val="00674A0F"/>
    <w:rsid w:val="006C0F12"/>
    <w:rsid w:val="006E0165"/>
    <w:rsid w:val="006E5DCF"/>
    <w:rsid w:val="006E7F0A"/>
    <w:rsid w:val="0070404E"/>
    <w:rsid w:val="007234EE"/>
    <w:rsid w:val="007240D3"/>
    <w:rsid w:val="00732224"/>
    <w:rsid w:val="00733B01"/>
    <w:rsid w:val="007449E2"/>
    <w:rsid w:val="00766C60"/>
    <w:rsid w:val="007841F5"/>
    <w:rsid w:val="00786F89"/>
    <w:rsid w:val="007A0ACF"/>
    <w:rsid w:val="007A50E5"/>
    <w:rsid w:val="007D4CF8"/>
    <w:rsid w:val="007E51DB"/>
    <w:rsid w:val="008002F8"/>
    <w:rsid w:val="00827C6A"/>
    <w:rsid w:val="008436CF"/>
    <w:rsid w:val="00854072"/>
    <w:rsid w:val="008801F3"/>
    <w:rsid w:val="00896EA5"/>
    <w:rsid w:val="008A2B1A"/>
    <w:rsid w:val="008D7C0C"/>
    <w:rsid w:val="00901D22"/>
    <w:rsid w:val="00917BB1"/>
    <w:rsid w:val="009249DF"/>
    <w:rsid w:val="00943D17"/>
    <w:rsid w:val="009546A9"/>
    <w:rsid w:val="009572AC"/>
    <w:rsid w:val="00960711"/>
    <w:rsid w:val="0096248C"/>
    <w:rsid w:val="009A1B0D"/>
    <w:rsid w:val="009A1C68"/>
    <w:rsid w:val="009C2FE2"/>
    <w:rsid w:val="009D1106"/>
    <w:rsid w:val="009D2EC0"/>
    <w:rsid w:val="009D4FAA"/>
    <w:rsid w:val="009E71FE"/>
    <w:rsid w:val="009F2ACB"/>
    <w:rsid w:val="009F7DBD"/>
    <w:rsid w:val="00A00E72"/>
    <w:rsid w:val="00A3673E"/>
    <w:rsid w:val="00A36EBE"/>
    <w:rsid w:val="00A618FC"/>
    <w:rsid w:val="00A75EBA"/>
    <w:rsid w:val="00A84CDC"/>
    <w:rsid w:val="00AA2C7A"/>
    <w:rsid w:val="00AA2D27"/>
    <w:rsid w:val="00AD12B7"/>
    <w:rsid w:val="00AD311B"/>
    <w:rsid w:val="00B022A1"/>
    <w:rsid w:val="00B05C25"/>
    <w:rsid w:val="00B06059"/>
    <w:rsid w:val="00B11CDA"/>
    <w:rsid w:val="00B309A8"/>
    <w:rsid w:val="00B329C9"/>
    <w:rsid w:val="00B51D1F"/>
    <w:rsid w:val="00B521EA"/>
    <w:rsid w:val="00B71960"/>
    <w:rsid w:val="00B81190"/>
    <w:rsid w:val="00B87895"/>
    <w:rsid w:val="00B90010"/>
    <w:rsid w:val="00BB200A"/>
    <w:rsid w:val="00BB388A"/>
    <w:rsid w:val="00BB4AC9"/>
    <w:rsid w:val="00BD2C02"/>
    <w:rsid w:val="00BE5B93"/>
    <w:rsid w:val="00BF08BA"/>
    <w:rsid w:val="00BF25EE"/>
    <w:rsid w:val="00BF3F95"/>
    <w:rsid w:val="00C01FC4"/>
    <w:rsid w:val="00C2287E"/>
    <w:rsid w:val="00C3656B"/>
    <w:rsid w:val="00C61B6D"/>
    <w:rsid w:val="00C61EC2"/>
    <w:rsid w:val="00C744A4"/>
    <w:rsid w:val="00C9017A"/>
    <w:rsid w:val="00CB1B4C"/>
    <w:rsid w:val="00CD6481"/>
    <w:rsid w:val="00CD7275"/>
    <w:rsid w:val="00CF173F"/>
    <w:rsid w:val="00D0757A"/>
    <w:rsid w:val="00D1377B"/>
    <w:rsid w:val="00D14BAD"/>
    <w:rsid w:val="00D71FC5"/>
    <w:rsid w:val="00D8206A"/>
    <w:rsid w:val="00D837C3"/>
    <w:rsid w:val="00D847CB"/>
    <w:rsid w:val="00DD74D1"/>
    <w:rsid w:val="00DD7674"/>
    <w:rsid w:val="00DE1CC4"/>
    <w:rsid w:val="00DE4916"/>
    <w:rsid w:val="00DF473C"/>
    <w:rsid w:val="00E202C1"/>
    <w:rsid w:val="00E42DA3"/>
    <w:rsid w:val="00E43948"/>
    <w:rsid w:val="00E47F95"/>
    <w:rsid w:val="00E74086"/>
    <w:rsid w:val="00E823AC"/>
    <w:rsid w:val="00E93B43"/>
    <w:rsid w:val="00E9523D"/>
    <w:rsid w:val="00EC704C"/>
    <w:rsid w:val="00ED56D4"/>
    <w:rsid w:val="00EF3A4E"/>
    <w:rsid w:val="00F327E9"/>
    <w:rsid w:val="00F33AC4"/>
    <w:rsid w:val="00F538CC"/>
    <w:rsid w:val="00F60CAB"/>
    <w:rsid w:val="00F6182F"/>
    <w:rsid w:val="00F64744"/>
    <w:rsid w:val="00FA489A"/>
    <w:rsid w:val="00FB0916"/>
    <w:rsid w:val="00FC768C"/>
    <w:rsid w:val="00FD1DCA"/>
    <w:rsid w:val="00FD5874"/>
    <w:rsid w:val="00FE265D"/>
    <w:rsid w:val="00FE6D1A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683C58"/>
  <w15:chartTrackingRefBased/>
  <w15:docId w15:val="{3E6E5847-C489-4B10-AAB9-21F08D4D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5D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5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5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5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5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5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5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5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5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5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5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5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5D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5D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5D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5D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5D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5D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5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5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5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5D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5D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5D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5D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5DC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E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ellaelenco3-colore21">
    <w:name w:val="Tabella elenco 3 - colore 21"/>
    <w:basedOn w:val="Tabellanormale"/>
    <w:uiPriority w:val="48"/>
    <w:rsid w:val="006E5D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DD8047"/>
        <w:left w:val="single" w:sz="4" w:space="0" w:color="DD8047"/>
        <w:bottom w:val="single" w:sz="4" w:space="0" w:color="DD8047"/>
        <w:right w:val="single" w:sz="4" w:space="0" w:color="DD8047"/>
      </w:tblBorders>
    </w:tblPr>
    <w:tblStylePr w:type="firstRow">
      <w:rPr>
        <w:b/>
        <w:bCs/>
        <w:color w:val="FFFFFF"/>
      </w:rPr>
      <w:tblPr/>
      <w:tcPr>
        <w:shd w:val="clear" w:color="auto" w:fill="DD8047"/>
      </w:tcPr>
    </w:tblStylePr>
    <w:tblStylePr w:type="lastRow">
      <w:rPr>
        <w:b/>
        <w:bCs/>
      </w:rPr>
      <w:tblPr/>
      <w:tcPr>
        <w:tcBorders>
          <w:top w:val="double" w:sz="4" w:space="0" w:color="DD80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D8047"/>
          <w:right w:val="single" w:sz="4" w:space="0" w:color="DD8047"/>
        </w:tcBorders>
      </w:tcPr>
    </w:tblStylePr>
    <w:tblStylePr w:type="band1Horz">
      <w:tblPr/>
      <w:tcPr>
        <w:tcBorders>
          <w:top w:val="single" w:sz="4" w:space="0" w:color="DD8047"/>
          <w:bottom w:val="single" w:sz="4" w:space="0" w:color="DD80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/>
          <w:left w:val="nil"/>
        </w:tcBorders>
      </w:tcPr>
    </w:tblStylePr>
    <w:tblStylePr w:type="swCell">
      <w:tblPr/>
      <w:tcPr>
        <w:tcBorders>
          <w:top w:val="double" w:sz="4" w:space="0" w:color="DD8047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6E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D2E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EC0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D2E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EC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Consulta</dc:creator>
  <cp:keywords/>
  <dc:description/>
  <cp:lastModifiedBy>FABRIZIO Consulta</cp:lastModifiedBy>
  <cp:revision>2</cp:revision>
  <dcterms:created xsi:type="dcterms:W3CDTF">2024-11-06T21:36:00Z</dcterms:created>
  <dcterms:modified xsi:type="dcterms:W3CDTF">2024-11-06T21:36:00Z</dcterms:modified>
</cp:coreProperties>
</file>